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6"/>
        <w:numPr>
          <w:ilvl w:val="0"/>
          <w:numId w:val="0"/>
        </w:numPr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№ 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6"/>
        <w:numPr>
          <w:ilvl w:val="0"/>
          <w:numId w:val="0"/>
        </w:numPr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6"/>
        <w:numPr>
          <w:ilvl w:val="0"/>
          <w:numId w:val="0"/>
        </w:numPr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6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приказом министерства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6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жилищно-коммунального хозяйства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6"/>
        <w:ind w:left="4536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энергетики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6"/>
        <w:ind w:left="4536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 28.01.2026  № 22-НПА</w:t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26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ind w:right="-2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ДОКУМЕНТАЦИЯ О ПРОВЕДЕНИИ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№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1.6-2026-ПО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предмету предварительного отбора «Оказание услуг и (или) выполнение работ по оценке технического состояния многоквартирного дома,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разработке проектной документации на проведение капитального ремонта общего имущества многоквартирных домов, многоквартирных домов, являющихся объектами культурного наследия, в случаях, предусмотренных пунктом 5 статьи 56.1 Федерального закона «Об объектах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случаях, предусмотренных пунктом 6 статьи 56.1 указанного Федерального закона»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left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left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26"/>
        <w:jc w:val="left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г. Новосибирск, 2026 г.</w:t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r>
    </w:p>
    <w:p>
      <w:pPr>
        <w:pStyle w:val="726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pStyle w:val="726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Общие положения</w:t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r>
    </w:p>
    <w:p>
      <w:pPr>
        <w:pStyle w:val="726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</w:t>
      </w:r>
      <w:r>
        <w:rPr>
          <w:rFonts w:ascii="Times New Roman" w:hAnsi="Times New Roman" w:eastAsia="Calibri" w:cs="Times New Roman"/>
          <w:b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Орган по ведению реестра квалифицированных подрядных организаций (далее – Орган по ведению РКПО) – министерство жилищно-коммунального хозяйства и энергетики Новосибирской области.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</w:t>
        <w:tab/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991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97"/>
        <w:gridCol w:w="4117"/>
        <w:gridCol w:w="5097"/>
      </w:tblGrid>
      <w:tr>
        <w:tblPrEx/>
        <w:trPr>
          <w:trHeight w:val="852"/>
        </w:trPr>
        <w:tc>
          <w:tcPr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pStyle w:val="726"/>
              <w:jc w:val="center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/>
            <w:tcW w:w="9214" w:type="dxa"/>
            <w:vAlign w:val="center"/>
            <w:textDirection w:val="lrTb"/>
            <w:noWrap w:val="false"/>
          </w:tcPr>
          <w:p>
            <w:pPr>
              <w:pStyle w:val="726"/>
              <w:jc w:val="center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Информация о проведении предварительного отбора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2"/>
        </w:trPr>
        <w:tc>
          <w:tcPr>
            <w:gridSpan w:val="3"/>
            <w:shd w:val="clear" w:color="auto" w:fill="ffffff"/>
            <w:tcW w:w="9911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1. Сведения об органе по ведению реестра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</w:p>
        </w:tc>
      </w:tr>
      <w:tr>
        <w:tblPrEx/>
        <w:trPr>
          <w:trHeight w:val="852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Министерство жилищно-коммунального хозяйства и энергетики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Место нахождения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630091, г. Новосибирск, ул. Фрунзе, 5, оф. 639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630091, г. Новосибирск, ул. Фрунзе, 5, оф. 639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2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5406793110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mingkh@nso.ru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562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Номер телефона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 (383) 238-76-53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shd w:val="clear" w:color="auto" w:fill="ffffff"/>
            <w:tcW w:w="6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Ф.И.О. контактного лица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Манске Инга Геннадьевна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51"/>
        </w:trPr>
        <w:tc>
          <w:tcPr>
            <w:tcW w:w="6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Предмет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  <w:t xml:space="preserve">Оказание услуг и (или) выполнение работ по оценке технического состояния многоквартирного дома,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  <w:t xml:space="preserve"> разработке проектной документации на проведение капитального ремонта общего имущества многоквартирных домов, многоквартирных домов, являющихся объектами культурного наследия, в случаях, предусмотренных пунктом 5 статьи 56.1 Федерального закона "Об объекта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  <w:t xml:space="preserve">х культурного наследия (памятниках истории и культуры) народов Российской Федерации", являющихся объектами культурного наследия либо выявленными объектами культурного наследия, в случаях, предусмотренных пунктом 6 статьи 56.1 указанного Федерального закона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tcW w:w="6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Номер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 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1.6-2026-ПО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160"/>
        </w:trPr>
        <w:tc>
          <w:tcPr>
            <w:tcW w:w="6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Официальный сайт, на котором размещена документация о проведении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http://www.mjkh.nso.ru/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852"/>
        </w:trPr>
        <w:tc>
          <w:tcPr>
            <w:tcW w:w="6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Адрес сайта оператора электронной площадки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http://www.rts-tender.ru/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52"/>
        </w:trPr>
        <w:tc>
          <w:tcPr>
            <w:tcW w:w="6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Период действия результатов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42"/>
        </w:trPr>
        <w:tc>
          <w:tcPr>
            <w:tcW w:w="6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и время начала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02 февраля 2026 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09 часов 00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42"/>
        </w:trPr>
        <w:tc>
          <w:tcPr>
            <w:tcW w:w="6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и время окончания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25 февраля 2026 года,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09 часов 00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70"/>
        </w:trPr>
        <w:tc>
          <w:tcPr>
            <w:tcW w:w="697" w:type="dxa"/>
            <w:textDirection w:val="lrTb"/>
            <w:noWrap w:val="false"/>
          </w:tcPr>
          <w:p>
            <w:pPr>
              <w:pStyle w:val="726"/>
              <w:jc w:val="both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pStyle w:val="726"/>
              <w:jc w:val="left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Дата окончания рассмотрения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7" w:type="dxa"/>
            <w:textDirection w:val="lrTb"/>
            <w:noWrap w:val="false"/>
          </w:tcPr>
          <w:p>
            <w:pPr>
              <w:pStyle w:val="726"/>
              <w:jc w:val="left"/>
              <w:spacing w:before="120" w:after="12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11 марта 2026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726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</w:p>
    <w:p>
      <w:pPr>
        <w:pStyle w:val="726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оказанию услуг и (или) выполнению работ по капитальному ремонту общего имущества в многоквартирном доме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1006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07"/>
        <w:gridCol w:w="6757"/>
      </w:tblGrid>
      <w:tr>
        <w:tblPrEx/>
        <w:trPr>
          <w:trHeight w:val="6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726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7" w:type="dxa"/>
            <w:textDirection w:val="lrTb"/>
            <w:noWrap w:val="false"/>
          </w:tcPr>
          <w:p>
            <w:pPr>
              <w:pStyle w:val="726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726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7" w:type="dxa"/>
            <w:textDirection w:val="lrTb"/>
            <w:noWrap w:val="false"/>
          </w:tcPr>
          <w:p>
            <w:pPr>
              <w:pStyle w:val="726"/>
              <w:jc w:val="center"/>
              <w:keepNext/>
              <w:spacing w:before="0" w:after="16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Общие требования к выполнению работ (услуг) подрядной организацией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7" w:type="dxa"/>
            <w:textDirection w:val="lrTb"/>
            <w:noWrap w:val="false"/>
          </w:tcPr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1. Работы осуществляются на основании предоставленной заказчиком электронного аукциона (далее – Заказчик) исходно-разрешительной документации: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- Технический паспорт БТИ (при наличии);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- Протокол общего собрания (или решения органа местного самоуправления);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- Техническое задание органа, ответственного за сохранность объекта культурного наследия (при необходимости).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2. Работы осуществляются на основании предоставленной органом местного самоуправления исходно-разрешительной документации: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Информация об управляющей организации.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3. Работы осуществляются на основании иной полученной подрядной организацией исходно-разрешительной документации, необходимой для выполнения работ по проектированию: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-требование органов местного самоуправления о цвете и материале (при необходимости) кровельного покрытия;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-сведения о разграничении зон общего имущества многоквартирного дома;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-справка ресурсоснабжающей организации о давлении в системах водоснабжения, температуре теплоносителя и давлении в системе теплоснабжения;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-другая недостающая исходно-разрешительная документация, необходимая для выполнения проектных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2. Проектно-сметная документация разрабатывается в объёме, необходимом для проведения капитального ремонта общего имущества многоквартирного дома (далее – МКД) в соответствии со следующими нормами действующего законодательства Российской Федерации: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Градостроительный кодекс Российской Федерации;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Земельный кодекс Российской Федерации;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Жилищный кодекс Российской Федерации;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</w:t>
            </w:r>
            <w:hyperlink r:id="rId17" w:tooltip="http://docs.cntd.ru/document/902192610" w:history="1">
              <w:r>
                <w:rPr>
                  <w:rFonts w:ascii="Times New Roman" w:hAnsi="Times New Roman" w:eastAsia="Calibri" w:cs="Times New Roman"/>
                  <w:sz w:val="24"/>
                  <w:szCs w:val="24"/>
                  <w:highlight w:val="white"/>
                </w:rPr>
                <w:t xml:space="preserve">Федеральный закон от 30.12.2009г. № 384-Ф3 «Технический регламент о безопасности зданий и сооружений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»;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</w:t>
            </w:r>
            <w:hyperlink r:id="rId18" w:tooltip="http://docs.cntd.ru/document/902186281" w:history="1">
              <w:r>
                <w:rPr>
                  <w:rFonts w:ascii="Times New Roman" w:hAnsi="Times New Roman" w:eastAsia="Calibri" w:cs="Times New Roman"/>
                  <w:sz w:val="24"/>
                  <w:szCs w:val="24"/>
                  <w:highlight w:val="white"/>
                </w:rPr>
                <w:t xml:space="preserve">Федеральный закон от 23.11.2009 г. № 261-ФЗ «Об энергосбережении и о повышении энергетической эффективности, и о внесении изменений в отдельные законодательные акты Российской Федерации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»;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Федеральный закон РФ от 27.12.2002г. №184-ФЗ «О техническом регулировании»;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Федеральный закон РФ от 22.07.2008 №123-ФЗ «Технический регламент о требованиях пожарной безопасности»;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Федеральный закон РФ от 25.06.2002г. №73-ФЗ «Об объектах культурного наследия (памятниках истории и культуры) народов РФ» (в том числе в части требований к качеству работ и безопасности их проведения);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Постановление Правительства РФ № 87 от 16.02.2008 г. «О составе разделов проектной документации и требованиях к их содержанию»;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 ВСН 41-85 (р) Инструкция по разработке проектов организации и проектов производства работ по капитальному ремонту жилых зданий;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17.13330.2017 Кровли;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70.13330.2012 Несущие и ограждающие конструкции;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20.13330.2016 Нагрузки и воздействия;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54.13330.2022 Здания жилые многоквартирные;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71.13330.2017 Изоляционные и отделочные покрытия;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15.13330.2020 Каменные и армокаменные конструкции;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16.13330.2017 Стальные конструкции;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64.13330.2017 Деревянные конструкции;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63.13330.2018 Бетонные и железобетонные конструкции.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СП 29.13330.2011 Полы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СП 82-101-98 Приготовление и применение растворов строительных;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ГОСТ 33083-2014 Смеси сухие строительные на цементном вяжущем для штукатурных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СП 256.1325800.2016 «Электроустановки жилых и общественных зданий. Правила проектирования и монтажа»;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31565-2012 «Кабельные изделия. Требования пожарной безопасности»;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СО 153-34.21.122-2003 Инструкция по устройству молниезащиты зданий, сооружений и промышленных коммуникаций;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Р 50571.5.52-2011 Электроустановки низковольтные. Часть 5-52. Выбор и монтаж электрооборудования. Электропроводки;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32395-2020 Щитки распределительные для жилых зданий. Общие технические условия.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32396-2021 Устройства вводно-распределительные для жилых и общественных зданий. Общие технические условия;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Р 50571.16-2019 Электроустановки низковольтные. Часть 6. Испытания;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34819-2021 Приборы осветительные. Светотехнические требования и методы испытаний;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IEC 60598-2-22-2012 Светильники. Часть 2-22. Частные требования. Светильники для аварийного освещения;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IEC 60898-2-2021 Выключатели автоматические для защиты от сверхтоков электроустановок бытового и аналогичного назначения. Часть 2. Выключатели автоматические для переменного и постоянного тока;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21.608-2021 «Система проектной документации для строительства. Правила выполнения рабочей документации внутреннего электрического освещения»;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СП 60.13330.2020 «Отопление, вентиляция и кондиционирование воздуха»;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СП 61.13330.2012 «Тепловая изоляция оборудования и трубопроводов»;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СП 124.13330.2012 «Тепловые сети»;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СП 73.13330.2016 «Внутренние санитарно-технические системы зданий»;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СП 30.13330.2020 «Внутренний водопровод и канализация зданий».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ind w:left="0" w:firstLine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30494-2011 «Здания жилые и общественные. Параметры микроклимата в помещениях»;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34059-2017 Инженерные сети зданий и сооружений внутренние. Устройство систем отопления, горячего и холодного водоснабжения. Общие технические требования»;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 ГОСТ 21.602-2016 Система проектной документации для строительства (СПДС). Правила выполнения рабочей документации систем отопления, вентиляции и кондиционирования;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ПУЭ 7 Правила устройства электроустановок. Издание 6,7;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ГОСТ Р 21.101-2020 Система проектной документации для строительства. Основные требования к проектной и рабочей документации и другие взаимосвязанные стандарты Системы проектной документации для строительства.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ar-SA"/>
              </w:rPr>
              <w:t xml:space="preserve">- ГОСТ Р 55528-2013 «Состав и содержание научно-проектной документации по сохранению объектов культурного наследия» и иные нормативные документы.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3. Принятые в проектно-сметной документации решения должны соответствовать требованиям экологических, санитарно-гигиенических, противопожарных и других норм, действующих на территории Российской Федерации.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Общие требования к составу и содержанию проектно-сметной документации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7" w:type="dxa"/>
            <w:textDirection w:val="lrTb"/>
            <w:noWrap w:val="false"/>
          </w:tcPr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Разделы и подразделы проектно-сметной документации выполняются в соответствии с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постановлением Правительства Российской Федерации от 16.02.2008г. № 87 «О составе разделов проектной документации и требованиях к их содержанию» в объеме, необходимом для выполнения работ по капитальному ремонту общего имущества МКД.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Требования к согласованию с ведомствами и организациями, экспертиза проектно-сметной документации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7" w:type="dxa"/>
            <w:textDirection w:val="lrTb"/>
            <w:noWrap w:val="false"/>
          </w:tcPr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организацией должны быть получены все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необходимые согласования и заключения экспертизы проектно-сметной документации.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Требование к календарному плану работ (услуг)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7" w:type="dxa"/>
            <w:textDirection w:val="lrTb"/>
            <w:noWrap w:val="false"/>
          </w:tcPr>
          <w:p>
            <w:pPr>
              <w:pStyle w:val="72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Работы должны проводиться в соответствии с прилагаемым к договору календарным планом. Выполнение работ по календарному плану должно быть поэтапное, и предусматривать ежемесячную сдачу проектно-сметной документации равными частями.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26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numPr>
          <w:ilvl w:val="0"/>
          <w:numId w:val="0"/>
        </w:numPr>
        <w:contextualSpacing/>
        <w:ind w:left="4185"/>
        <w:jc w:val="center"/>
        <w:spacing w:before="120" w:after="0" w:line="240" w:lineRule="auto"/>
        <w:rPr>
          <w:rFonts w:ascii="Times New Roman" w:hAnsi="Times New Roman" w:eastAsia="Calibri" w:cs="Times New Roman"/>
          <w:vanish/>
          <w:sz w:val="24"/>
          <w:szCs w:val="24"/>
        </w:rPr>
        <w:outlineLvl w:val="1"/>
      </w:pP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Сведения о существенных условиях договора строительного подряда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W w:w="1006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80"/>
        <w:gridCol w:w="2409"/>
        <w:gridCol w:w="6976"/>
      </w:tblGrid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2409" w:type="dxa"/>
            <w:vAlign w:val="center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Условие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6976" w:type="dxa"/>
            <w:vAlign w:val="center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en-US" w:bidi="ar-SA"/>
              </w:rPr>
              <w:t xml:space="preserve">Описание условия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2409" w:type="dxa"/>
            <w:vAlign w:val="center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6976" w:type="dxa"/>
            <w:vAlign w:val="center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Заказчик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Фонд модернизации и развития жилищно-коммунального хозяйства муниципальных образований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Предмет договора строительного подряда (далее – договор)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Предметом договора является выполнение работ по по оценке технического состояния многоквартирного дома,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разработке проектной документации на проведение капитального ремонта общего имущества многоквартирных домов, многоквартирных домов, являющихся объектами культурного наследия, в случаях, предусмотренных пунктом 5 статьи 56.1 Федерального закона «Об объектах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случаях, предусмотренных пунктом 6 статьи 56.1 указанного Федерального закона.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Выполнение работ включает в себя следующий состав работ (услуг):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 Выполнить предварительное обследование объекта с составлением акта обследования;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 Разработать проектную документацию с предоставлением архитектурных решений и основных чертежей: планы, сечения, разрезы со схематическим изображением основных несущих и ограждающих конструкций, способов крепления, узлов, сертификации материалов;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 объем разрабатываемого проекта должны включаться: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 Обмерочные чертежи.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 Отчёт о техническим обследовании, включающий в себя: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характеристика объекта;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выявленные дефекты, скрытые дефекты;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фотографии объекта, дефектов конструкций и последствий;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выводы по результатам обследования.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 Пояснительная записка, включающая в себя: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описание и обоснование принятых технических решений;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производство работ по проведению капитального ремонта существующих систем отопления и горячего водоснабжения;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требования к качеству и приёмке работ;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антикоррозийные мероприятия;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мероприятия по противопожарной безопасности при производстве работ;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техника безопасности строительных работ и охрана труда;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мероприятия по охране окружающей природной среды;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</w:t>
            </w:r>
            <w:r>
              <w:rPr>
                <w:rFonts w:eastAsia="Calibri" w:cs="Arial"/>
                <w:sz w:val="22"/>
                <w:szCs w:val="22"/>
                <w:lang w:val="ru-RU" w:eastAsia="en-US" w:bidi="ar-SA"/>
              </w:rPr>
              <w:t xml:space="preserve"> о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бщие организационные работы.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4. Отопление, вентиляция и кондиционирование: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планы;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характерные разрезы и сечения;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 ведомость оборудования и материалов;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5. Сметная документация на капитальный ремонт отдельных элементов МКД.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Работы (услуги) будут выполняться (оказываться) подрядной организацией в отношении объектов, указанных в ориентировочном адресном перечне, размещенном на сайте в информационно-коммуникационной сети «Интернет» </w:t>
            </w:r>
            <w:hyperlink r:id="rId19" w:tooltip="http://www.mjkh.nso.ru/page/724." w:history="1">
              <w:r>
                <w:rPr>
                  <w:rStyle w:val="759"/>
                  <w:rFonts w:ascii="Times New Roman" w:hAnsi="Times New Roman" w:eastAsia="Calibri" w:cs="Times New Roman"/>
                  <w:sz w:val="24"/>
                  <w:szCs w:val="24"/>
                  <w:lang w:val="ru-RU" w:eastAsia="en-US" w:bidi="ar-SA"/>
                </w:rPr>
                <w:t xml:space="preserve">http://www.mjkh.nso.ru/page/724.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pacing w:val="-6"/>
                <w:sz w:val="24"/>
                <w:szCs w:val="24"/>
                <w:highlight w:val="white"/>
                <w:lang w:val="ru-RU" w:eastAsia="en-US" w:bidi="ar-SA"/>
              </w:rPr>
              <w:t xml:space="preserve">Указанные ориентировочные перечни могут быть скорректированы в соответствии с требованиями действующего жилищного законодательства.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Цена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26"/>
              <w:contextualSpacing/>
              <w:jc w:val="left"/>
              <w:spacing w:before="0" w:after="160" w:line="259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 Цена договора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contextualSpacing/>
              <w:jc w:val="left"/>
              <w:spacing w:before="0" w:after="160" w:line="259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 Цена договора может быть снижена по соглашению сторон при уменьшении предусмотренных договором объемов услуг и (или)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contextualSpacing/>
              <w:jc w:val="left"/>
              <w:spacing w:before="0" w:after="0" w:line="240" w:lineRule="auto"/>
              <w:widowControl/>
              <w:tabs>
                <w:tab w:val="left" w:pos="45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 Изменение стоимости и объемов услуг и (или) работ производится при соблюдении Заказчиком положений, установленных частью 5 статьи 189 Жилищного кодекса Российской Федерации. Иные положения договора изменению не подлежат.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оплаты работ (услуг)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и сроки приемки выполненных работ (оказанных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 Порядок и сроки приемки выполненных работ (оказанных услуг) устанавливаются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 Для проверки соответствия качества и объемов выполненных работ (оказанных услуг), установленных договором, Заказчик вправе привлекать независимых экспертов.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Место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Место выполнения работ (оказания услуг) устанавливается Заказчиком в документации о проведении электронного аукциона в пределах Новосибирской области.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Обеспечение исполнения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Исполнение обязательств по договору обеспечивается: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независимой гарантией, выданной в соответствии с требованиями, предусмотренными </w:t>
            </w:r>
            <w:hyperlink r:id="rId20" w:tooltip="consultantplus://offline/ref=1A5ACDC7DDF8F0887A5F947293FE2CE5F6F787A58646A3FC26F6FA80EC4498F2B4F4B29DE25C6665B142ABBE2349634291F5A8A8AAE2S3H" w:history="1">
              <w:r>
                <w:rPr>
                  <w:rFonts w:ascii="Times New Roman" w:hAnsi="Times New Roman" w:eastAsia="Calibri" w:cs="Times New Roman"/>
                  <w:sz w:val="24"/>
                  <w:szCs w:val="24"/>
                  <w:lang w:val="ru-RU" w:eastAsia="en-US" w:bidi="ar-SA"/>
                </w:rPr>
                <w:t xml:space="preserve">частью 1 статьи 45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независимая гарантия);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обеспечительным платежом.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Способ обеспечения исполнения обязательств по договору определяется участником электронного аукциона, с которым заключается такой договор, самостоятельно из указанных в пункте 1 способов.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Размер обеспечения исполнения договора указывается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4. Размер обеспечения исполнения договора не может превышать 30 (тридцать) процентов начальной (максимальной) цены договора, указанной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5. Обеспечение исполнения договора может быть установлено в размере, превышающем в 2 раза размер обеспечения его исполнения, 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казанный в документации о проведении электронного аукциона, в случае, если при проведении электронного аукциона участником закупки, с которым заключается договор, предложена цена, которая на 20 и более процентов ниже начальной (максимальной) цены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6. Независимая гарантия оформляется в письменной форме на бумажном носителе или в форме электронного документа, подписанного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усиленной квалифицированной электронной подписью лица, имеющего право действовать от имени организации, выдавшей независимую гарантию (далее - гарант), на условиях, определенных гражданским законодательством, и должна соответствовать следующим требованиям: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быть безотзывной;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требован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и (или) в случае расторжения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д) срок действия независимой гарантии должен превышать срок оказания услуг и (или) выполнения работ по договору не менее чем на 60 дней.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7. Заказчик вправе не устанавливать требование обеспечения исполнения договора при условии банковского сопровождения договора.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 w:val="off"/>
              <w:tabs>
                <w:tab w:val="left" w:pos="601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 документации о проведении электронного аукциона Заказчиком могут быть установлены дополнительные требования к обеспечению исполнения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Гарантийный срок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 w:val="off"/>
              <w:tabs>
                <w:tab w:val="left" w:pos="4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Условия о гарантийном сроке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 w:val="off"/>
              <w:tabs>
                <w:tab w:val="left" w:pos="608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 Срок предоставления гарантий на оказанные услуги и (или) выполненные работы не может быть менее 5 лет со дня подписания соответствующего акта о приемке оказанных услуг и (или)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7"/>
        </w:trPr>
        <w:tc>
          <w:tcPr>
            <w:tcW w:w="680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Ответственность Заказчика и подрядной организации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26"/>
              <w:ind w:left="34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Условия договора, предусматривающие ответственность подрядной организации и Заказчика за неисполнение или ненадлежащее исполнение обязательств по договору,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Порядок заключения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Договор заключается Заказчиком в соответствии с Гражданским кодексом Российской Федерации и Положением.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ind w:left="34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Порядок заключения договора определяется Заказчиком в документации об электронном аукционе.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Другие существенные условия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6" w:type="dxa"/>
            <w:textDirection w:val="lrTb"/>
            <w:noWrap w:val="false"/>
          </w:tcPr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Предмет договора, место оказания услуг и (или) проведения работ, виды услуг и (или)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 не могут изменяться в ходе его исполнения. Сроки оказания услуг и (или) выполнения работ по договору по соглашению сторон могут быть продлены на период действия одного из следующих обстоятельств при наличии документов, подтверждающих такие обстоятельства: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изменение объема оказываемых услуг и (или) выполняемых работ по до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говору по соглашению сторон при согласовании таких изменений собственниками помещений в МКД, уполномоченным представителем собственников таких помещений или органами местного самоуправления в случаях, предусмотренных законодательством Российской Федерации;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недопуск собственниками помещений в МКД подрядной организации к оказанию услуг и (или) выполнению работ по капитальному ремонту по причинам, не связанным с неисполнением или ненадлежащим исполнением такой организацией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в) приостановка оказания услуг и (или) выполнения работ по капитальному ремонту в связи с наступлением отопительного сезона и (или) неблагоприятных погодных условий.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При исполнении дог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овора не допускается перемена подрядной организации, за исключением случаев, если новая подрядная организация является правопреемником по договору вследствие реорганизации юридического лица в порядке, предусмотренном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Расторжение договора допускается: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по соглашению сторон;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по инициативе Заказчика, в том числе в виде одностороннего расторжения договора, или подрядной организации (основания такого расторжения устанавливаются в договоре);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в) по решению суда по основаниям, предусмотренным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4. Заказчик вправе расторгнуть договор в одностороннем порядке в следующих случаях: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а) систематическое (2 раза и более) нарушение подрядной организацией сроков оказания услуг и (или) выполнения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б) задержка подрядной организацией начала выполнения работ более чем на 10 (десять) календарных дней по причинам, не зависящим от Заказчика или собственников помещений в МКД;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в) неоднократное (2 раза и более в течение одного календарного месяца) несоблюдение (отступление от 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ребований, предусмотренных договором, проектной документацией, стандартами, нормами и правилами, а также иными действующими нормативными правовыми актами) подрядной организацией требований к качеству услуг и (или) работ и (или) технологии проведения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г) неоднократное (2 раза и более в течение одного календарного месяца) использование некачественных материалов, изделий и конструкций, выявленных Заказчиком в соответствии с условиями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д) прекращение членства подрядной организации в саморегулируемой организации, издание актов государственных органов в рамках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 законодательства Российской Федерации, лишающих права подрядной организации на производство работ; е) нарушение подрядной организацией сроков оказания услуг и (или) выполнения работ продолжительностью более 30 (тридцати) календарных дней по любому из МКД;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ж) нарушение срока замены независимой гарантии, установленного договором, при отзыве лицензии, банкротстве или ликвидации гаранта более чем на 2 (два) рабочих дня;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59" w:lineRule="auto"/>
              <w:widowControl w:val="off"/>
              <w:tabs>
                <w:tab w:val="left" w:pos="176" w:leader="none"/>
                <w:tab w:val="clear" w:pos="7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з) выявление Заказчиком после заключения 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оговора строительного подряда факта недействительности представленной подрядной организацией независимой гарантии (представление поддельных документов, получение от гаранта опровержения выдачи независимой гарантии подрядной организации в письменной форме);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 w:val="off"/>
              <w:tabs>
                <w:tab w:val="left" w:pos="600" w:leader="none"/>
                <w:tab w:val="clear" w:pos="708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и) неисполнение обязательства о продлении срока независимой гарантии при измен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ении сроков оказания услуг и (или) выполнения работ в связи с изменением по соглашению сторон сроков оказания услуг и (или) выполнения работ либо при нарушении подрядной организацией предусмотренных договором сроков оказания услуг и (или) выполнения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pStyle w:val="726"/>
        <w:ind w:left="108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Требования к участникам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проведении предварительного отбора по предмету последующего электронного аукциона - </w:t>
      </w:r>
      <w:r>
        <w:rPr>
          <w:rFonts w:ascii="Times New Roman" w:hAnsi="Times New Roman" w:eastAsia="Calibri" w:cs="Times New Roman"/>
          <w:b w:val="0"/>
          <w:bCs w:val="0"/>
          <w:sz w:val="24"/>
          <w:szCs w:val="24"/>
        </w:rPr>
        <w:t xml:space="preserve">«Оказание услуг и (или) выполнение работ по оценке технического состояния многоквартирного дома, </w:t>
      </w:r>
      <w:r>
        <w:rPr>
          <w:rFonts w:ascii="Times New Roman" w:hAnsi="Times New Roman" w:eastAsia="Calibri" w:cs="Times New Roman"/>
          <w:b w:val="0"/>
          <w:bCs w:val="0"/>
          <w:sz w:val="24"/>
          <w:szCs w:val="24"/>
        </w:rPr>
        <w:t xml:space="preserve">разработке проектной документации на проведение капитального ремонта общего имущества многоквартирных домов, многоквартирных домов, являющихся объектами культурного наследия, в случаях, предусмотренных пунктом 5 статьи 56.1 Федерального закона «Об объектах</w:t>
      </w:r>
      <w:r>
        <w:rPr>
          <w:rFonts w:ascii="Times New Roman" w:hAnsi="Times New Roman" w:eastAsia="Calibri" w:cs="Times New Roman"/>
          <w:b w:val="0"/>
          <w:bCs w:val="0"/>
          <w:sz w:val="24"/>
          <w:szCs w:val="24"/>
        </w:rPr>
        <w:t xml:space="preserve">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случаях, предусмотренных пунктом 6 статьи 56.1 указанного Федерального закона»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устанавливаются следующие требования к его участникам (далее – Участник):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членство в саморегулируемых ор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ганизациях в области архитектурно-строительного проектирования. При этом указанное требование не применяется к участникам предварительного отбора, являющимся лицами, указанными в пункте 1 части 2.2 статьи 52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отсутствие у Участника задолженности по уплате нал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огов, сборов и иных обязательных платежей в бюджеты бюджетной системы Российской Федерации за прошедший календарный год, за исключением случаев обжалования им задолженностей по обязательным платежам в бюджеты бюджетной системы Российской Федерации в соотве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тствии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отсутствие у Участника за 3 года, предшествующие дате окончани</w:t>
      </w:r>
      <w:r>
        <w:rPr>
          <w:rFonts w:ascii="Times New Roman" w:hAnsi="Times New Roman" w:eastAsia="Calibri" w:cs="Times New Roman"/>
          <w:sz w:val="24"/>
          <w:szCs w:val="24"/>
        </w:rPr>
        <w:t xml:space="preserve">я срока подачи заявок на участие в предварительном отборе, контракта или договора, в том числе заключенного в соответствии с Положением, по строительству, реконструкции и (или) капитальному ремонту объектов капитального строительства, относящихся к той же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группе услуг и (или) работ, что и предмет предварительного отбора,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условий такого контракта или договора;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неприостановление деятельности Участника в порядке, предусмотренном Кодексом Российской Федерации об административных правонарушениях, на дату проведения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 отсутствие конфликта интересов, то есть случаев, при которых руководитель Заказчика, член комиссии по проведению предварительного отбора, комиссии по осуществлению закупок, должн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остное лицо Заказчика, осуществляющее организационное сопровождение привлечения подрядных организаций, состоят в браке с физическими лицами, являющимися выгодоприобретателями, единоличным исполнительным органом хозяйственного общества, членами коллегиально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го исполнительного органа хозяйственного общества, руководителем учреждения или унитарного предприятия либо иных органов управления юридического лица - Участника либо являются близкими родственниками (родственниками по прямой восходящей и нисходящей линии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(родителями и детьми, дедушкой, бабушкой и внуками), полнородными и неполнородными (имеющими общих отца или мать) братьями или сестрами), усыновителями указанных физических лиц или усыновленными ими. Под выгодоприобретателями понимаются физические лица, вл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адеющие напрямую или косвенно (через юридическое лицо или через несколько юридических лиц) более чем 10 (десятью) процентами голосующих акций хозяйственного общества либо долей, превышающей 10 (десять) процентов в уставном капитале хозяйственного общества;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неприменение в отношении Участника – физического лица либо руководителя, членов коллеги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ального исполнительного органа или главного бухгалтера Участника –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отсутствие сведений об Участнике в реестре недобросовестных поставщиков (подрядчиков, исполнителей), 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отсутствие сведений об Участнике в реестре недобросовестных подрядных организаций, ведение которого осуществляется федеральным органом исполнительной власти в порядке, установленном разделом VII Положения;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невозможность для Участника являться юридическим лицом, местом регистрации которого является государство или территория, включенные в утверждаемый в соответствии с подпунктом 1 пункта 3 статьи 284 Налог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юридических лиц;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л) наличие в штате у Участника работников, соответствующих установленным пунктом 1 части 6 статьи 55.5 Градостроительного кодекса Российской Федерации квалификационным требованиям, в количестве, установленном в приложении № 4 к Документации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отбора, но не ниже количества, установленного пунктом 2 части 6 статьи 55.5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м) наличие у Участника за 3 года, предшествующие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дате 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менее чем по 3 исполненным контрактам и (или) договорам, предметом которых я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влялись строительство, реконструкция, капитальный ремонт зданий, являющихся объектами капитального строительства, ремонт (замена) лифтового оборудования, разработка проектной документации, в том числе по договорам, заключенным в соответствии с Положением.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этом минимальный размер стоимости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оказанных услуг и (или) выполненных работ по указанным исполненным контрактам и (или) договорам установлен в Приложении № 2 к Документации о проведении предварительного отбора в размере не более 10 процентов предельного размера обязательств по договорам по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дряда на подготовку проектной документации, в соответствии с которым указанным участником предварительного отбора, являющимся членом саморегулируемой организации, основанной на членстве лиц, выполняющих инженерные изыскания, или саморегулируемой организаци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и, основанной на членстве лиц, осуществляющих подготовку проектной документации,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н) отсутствие в отношении участника предварительного отбора решения об исключении подрядной организации из реестра квалифицированны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х подрядных организаций в случае установления одного из фактов, указанных в подпунктах "з" - "к" пункта 66 настоящего Положения, в течение года до даты рассмотрения заявок на участие в предварительном отборе комиссией по проведению предварительного отбора.</w:t>
      </w:r>
      <w:r>
        <w:rPr>
          <w:rFonts w:ascii="Times New Roman" w:hAnsi="Times New Roman" w:eastAsia="Calibri" w:cs="Times New Roman"/>
          <w:highlight w:val="white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pStyle w:val="726"/>
        <w:ind w:firstLine="709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V. Требования к содержанию, форме и составу заявки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 Участник должен подготовить Заявку по форме Приложения № 1 к Документации о проведении предварительного отбора, которая должна содержать полное наименование, сведения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об организационно-правовой форме, о месте нахождения, об адресе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гана участника предварительного отбора, - для юридического лица, или фамилию, имя, отчество, паспортные данные, сведения о месте жительства, номер контактного телефона - для физического лица, зарегистрированного в качестве индивидуального предпринимателя.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 Участник должен подписать Заявку усиленной квалифицированной электронной подписью.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4. В состав Заявки включаются следующие документы: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30 календарных дней до даты подачи Заявки,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инд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ивидуальных предпринимателей или засвидетельствованная в нотариальном порядке копия такой выписки, полученная не ранее чем за 30 календарных дней до даты подачи Заявки, – для физического лица, зарегистрированного в качестве индивидуального предпринимателя;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копии учредительных документов Участника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копия засвидетельствованного в нотариальном порядке перевода на русский язык документо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государства, полученная не ранее чем за 6 месяцев до дня подачи Заявки, – для иностранных лиц;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документ, подтверждающий полномочия лица на осуществление действий от имени Участника;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копия справки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 Заявка;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е) копия расчета по страховым взносам, представляемого плательщиками страховых взносов, составленного за последний отчетный период, предшествующий дате подачи заяв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ки на участие в предварительном отборе, по форме, утвержденной уполномоченным органом, с отметкой уполномоченного органа о приеме или с приложением копии документов, подтверждающих прием уполномоченным органом такого расчета в форме электронного документа;</w:t>
      </w:r>
      <w:r>
        <w:rPr>
          <w:rFonts w:ascii="Times New Roman" w:hAnsi="Times New Roman" w:eastAsia="Calibri" w:cs="Times New Roman"/>
          <w:highlight w:val="white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копия штатного расписания;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штатно-списочный состав сотрудников (рекомендуется представлять в соответствии с формой, установленной в Приложении № 3 к Документации о проведении предварительного отбора);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копии трудовых книжек и (или) с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ведения о трудовой деятельности, предусмотренные статьей 66.1 Трудового кодекса Российской Федерации, копии дипломов, сертификатов, аттестатов и удостоверений, подтверждающих наличие у Участника в штате минимального количества квалифицированного персонала;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копии не менее 3 исполненных контрактов и (или) договоров, подтверждающих наличие у Участника, предусмотренного подпунктом «п»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пункта 23 Положения, опыта оказания услуг и (или) выполнения работ, аналогичных предмету проводимого предварительного отбора, в которых указаны установленный срок оказания услуг и (или) выполнения работ и их первоначальная стоимость, копии актов приемки ок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азанных услуг и (или) выполненных работ или иных документов по таким контрактам и (или) договорам, в которых указана их окончательная стоимость и которыми подтверждается приемка Заказчиком услуг и (или) работ, оказанных и (или) выполненных в полном объеме.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Обобщенные сведения о наличии контрактов и (или) договоров и их выполнении рекомендуется представить по форме, установленной в Приложение № 5 к Документации о проведении предварительного отбора. 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л) согласие на обработку персональных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 .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(рекомендуется представлять в соответствии с формой, установленной в Приложении № 6 к Документации о проведении предварительного отбора)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Calibri" w:cs="Times New Roman"/>
          <w:highlight w:val="white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pStyle w:val="726"/>
        <w:ind w:left="36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подачи заявок 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подачи Заявки Участник должен зарегистрироваться на сайте оператора электронной площадки в соответствии с регламентом работы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 Регистрация на электронной площадке, а также участие в предварительном отборе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 Заявка, а также все сведения и документы, которые входят в ее состав, подаются Участником через оператора электронной площадки в виде электронного документа в соответствии с правилами, установленными оператором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 вправе подать только одну Заявку, пока она не рассмотрена в порядке, предусмотренном 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Участник, подавший Заявку, вправе ее изменить.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Внесение изменений в Заявку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квалифицированной электронной подписью.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 В случае установления факта подачи одним Участником 2 (двух) и более Заявок при условии, что поданные ранее Заявки не отозваны, все Заявки такого Участника не рассматриваются.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9. Заявка подается Участником не ранее даты, указанной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10.</w:t>
      </w:r>
      <w: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Заявки, поданные ранее даты и времени, указанные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отбора, не принимаются оператором электронной площадки и возвращаются Участнику.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11. Каждая Заявка, поступившая в установленные сроки, регистрируется оператором электронной площадки, с присвоением порядкового номера.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426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12. Установленные дата и время окончания срока подачи Заявок могут быть продлены Органом по ведению РКПО в случаях, предусмотренных нормами действующего законодательства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26"/>
        <w:ind w:left="36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и срок отзыва заявок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подавший Заявку, вправе ее отозвать.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может быть отозвана до даты и времени окончания срока подачи Заявок, указанных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Уведомление об отзыве Заявки должно быть подписано усиленной квалифицированной электронной подписью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left="142"/>
        <w:jc w:val="both"/>
        <w:spacing w:before="0"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pStyle w:val="726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26"/>
        <w:ind w:left="36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Форма, порядок, и сроки предоставления участникам предварительного отбора разъяснений положений Документации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142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Любое заинтересованное лицо вправе направить в орган по ведению РКПО запрос о разъяснении Документации о проведении предварительного отбора (далее – Запрос).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left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Запросы принимаются до 17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февраля 2026 года.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В случае если Запрос поступил в сроки, указанные в пункте 3 настоящего раздела, Орган по ведени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ю РКПО в течение 3 (трех)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лица, от которого поступил Запрос.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В случае если Запрос поступил позднее даты, указанной в пункте 3 настоящего раздела, данный Запрос не рассматривается Органом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Запрос должен быть подписан, усиленной квалифицированной электронной подписью лица, направившего Запрос.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26"/>
        <w:ind w:left="360"/>
        <w:jc w:val="both"/>
        <w:spacing w:before="0" w:after="0" w:line="240" w:lineRule="auto"/>
        <w:tabs>
          <w:tab w:val="left" w:pos="426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IX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рассмотрения заявок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ind w:left="360"/>
        <w:jc w:val="both"/>
        <w:spacing w:before="0" w:after="0" w:line="240" w:lineRule="auto"/>
        <w:tabs>
          <w:tab w:val="left" w:pos="426" w:leader="none"/>
          <w:tab w:val="clear" w:pos="708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numPr>
          <w:ilvl w:val="0"/>
          <w:numId w:val="4"/>
        </w:numPr>
        <w:ind w:left="142" w:hanging="360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Общие положения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26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Комиссия, ее персональный состав, а также порядок ее работы утверждаются Органом по ведению РКПО до начала проведения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Комиссии, порядке ее деятельности, а также о дате, месте и времени рассмотрения Заявок Участников размещена на сайте Органа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Участие в предварительном отборе и заседаниях Комиссии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Протоколы Комиссии, составленные в ходе рассмотрения Заявок, хранятся Органом по ведению РКПО не менее 3 (трех) лет.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Членами Комиссии не могут быть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заинтересованные лица либо лица, на которых способны оказать влияние Участники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предварительного отбора, либ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 физические лица, состоящие в браке с руководителем участника предварительного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нородными (имеющими общих отца или мать) братьями и сестрами), усыновителями руководителя участника предварительного отбора или усыновленными им). В случае выявления в составе Комиссии указанных лиц Участник должен сообщить об этом Органу по ведению РКПО.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Включение в реестр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квалифицированных подрядных организаций информации об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numPr>
          <w:ilvl w:val="0"/>
          <w:numId w:val="2"/>
        </w:numPr>
        <w:contextualSpacing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Порядок рассмотрения Заявок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26"/>
        <w:contextualSpacing/>
        <w:ind w:left="319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дате, времени и месте рассмотрения Комиссий Заявки направляется подавшему ее Участнику через сайт оператора электронной площадки, а также размещается на сайте Органа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Любой Участник и (или) его представитель вправе участвовать в заседаниях Комиссии и осуществлять аудио- и (или) видеозаписи заседания Комиссии.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проведении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недействительным в судебном порядке.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 рассматривает Заявки и Участников на их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основании результатов рассмотрения Заявок Комиссия принимает одно из следующих решений: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 включение Участника в реестр квалифицированных подрядных организаций;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отказ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Комиссии об отказе во включении Участника в реестр квалифицированных подрядных организаций принимается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Участника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Заявки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установление факта представления Участником недостоверной информации (сведений, документов) в составе Заявки.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2.8.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Невключение в реестр квалифицированных подрядных организаций по иным основаниям, кроме случаев, указанных в пункте 2.7 настоящего Порядка, не допускается.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2.9.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 по ведению РКП в течение 2 (двух) рабочих дней с даты принятия решения, указанного в подпункте «а» пункта 2.6 настоящего раздела, включает информацию об Участнике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26"/>
        <w:ind w:left="142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Принятие решения о признании предварительного отбора несостоявшимся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26"/>
        <w:ind w:left="142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Предварительный отбор признается Комиссией несостоявшимся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если после установленных в Извещении даты и времени окончания срока подачи Заявок подана единственная Заявка или не подано ни одной Заявки;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принятия Комиссией решения о невключении в реестр квалифицированных подрядных организаций всех Участников, подавших Заявки до указанных в Извещении даты и времени окончания срока подачи Заявок.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признания предварительного отбора несостоявшимся Орган по ведению РКПО принимает решение об объявлении процедуры предварительного отбора повторно.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формация о принятом решении, указанном в пункте 3.1 и 3.2 настоящего раздела, размещается Органом по ведению РКПО на официальном сайте и сайте оператора электронной площадки, в течение 2 рабочих дней со дня признания предварительного отбора несостоявшимся.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предварительный отбор 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ризнан несостоявшимся в связи с подачей единственной Заявки и Участник, подавший такую Заявку, соответствует требованиям, установленным в Документации о проведении предварительного отбора, то он включается в реестр квалифицированных подрядных организаций.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left="142"/>
        <w:jc w:val="center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Протокол заседания Комиссии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Результаты рассмотрения Заявок и принимаемые Комиссией решения, оформляются протоколом Комиссии, который подписывается всеми членами Комиссии, участвующими в заседании.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 оформляется и размещается Органом по ведению РКПО на официальном сайте и сайте оператора электронной площадки в течение 2 (двух) рабочих дней со дня его подписания.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протоколе указывается информация о месте, дате и времени рассмотрения заявок на участие в предварительном отборе, номер предварительного отбора, наименование (для юридического лица), адрес электр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онной площадки в сети «Интернет», на которой проводится предварительный отбор, фамилия, имя, отчество (при наличии) (для физического лица, зарегистрированного в качестве индивидуального предпринимателя), адрес юридического лица и электронный адрес, идентиф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икационный номер налогоплательщика каждого участника предварительного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рассмотрении заявок, принятые решения.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4.4. При принятии комиссией по предварительному отбору решения об отказе во включении участника предварительного отбора в реестр квалифицированных подрядных организаций в протоколе указывается обоснование такого решени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я со ссылками на нормы Положения, которым не соответствует участник предварительного отбора, на положения документации о проведении предварительного отбора, которым не соответствует заявка этого участника, на документы, подтверждающие такое несоответствие.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418" w:header="709" w:footer="0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принятии Комиссией решения о включении Участника в реестр квалифицированных подрядных организаций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протоколе указывается предельный размер обязательств участника предварительного отбора по обязательствам по договорам подряда на подготовку проектной документации, заключаемым с использованием конкурентны</w:t>
      </w:r>
      <w:r>
        <w:rPr>
          <w:rFonts w:ascii="Times New Roman" w:hAnsi="Times New Roman" w:eastAsia="Calibri" w:cs="Times New Roman"/>
          <w:sz w:val="24"/>
          <w:szCs w:val="24"/>
        </w:rPr>
        <w:t xml:space="preserve">х способов заключения договоров, в соответствии с которым такой участник предварительного отбора, как член соответствующей саморегулируемой организации, внес взнос в компенсационный фонд обеспечения договорных обязательств, сформированный в соответствии с </w:t>
      </w:r>
      <w:hyperlink r:id="rId21" w:tooltip="consultantplus://offline/ref=A2283303C7D254AD7348380E740FF25A10E2ED22CEB7A37225481EC656EC239C45C4E1787FF2A849uEg7B" w:history="1">
        <w:r>
          <w:rPr>
            <w:rFonts w:ascii="Times New Roman" w:hAnsi="Times New Roman" w:eastAsia="Calibri" w:cs="Times New Roman"/>
            <w:sz w:val="24"/>
            <w:szCs w:val="24"/>
          </w:rPr>
          <w:t xml:space="preserve">частью 2 статьи 55.16</w:t>
        </w:r>
      </w:hyperlink>
      <w:r>
        <w:rPr>
          <w:rFonts w:ascii="Times New Roman" w:hAnsi="Times New Roman" w:eastAsia="Calibri" w:cs="Times New Roman"/>
          <w:sz w:val="24"/>
          <w:szCs w:val="24"/>
        </w:rPr>
        <w:t xml:space="preserve">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5670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ЗАЯВКИ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ИЗВЕЩЕНИЮ № ___ ОТ __________________*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584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«</w:t>
        <w:tab/>
        <w:t xml:space="preserve">      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______________ 2__ года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Изучив условия Извещения о проведении предварительного отбора подрядных организаций № __________ от __________, и принимая установленные в нём требования и условия,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индивидуального предпринимателя)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 в лице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(указывается фамилия, имя, отчество (при наличии) представителя участника предварительного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физического лица)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организаций по предмету отбора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Документация о проведении предварительного отбора изучена в полном объеме и признана полной и достаточной для подготовки настоящей Заявки.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гарантируем достоверность представленной информации и подтверждаем право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реестра квалифицированных подрядных организаций)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получать в открытых информационных источниках, в уполномоченных органах власти информацию, уточняющую представленные нами в заявке сведения.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709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Сообщаем о себе следующее: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numPr>
          <w:ilvl w:val="0"/>
          <w:numId w:val="1"/>
        </w:numPr>
        <w:ind w:left="0" w:firstLine="0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Полное наименование организации и сведения об организационно-правовой форме (или Фамилия Имя Отчество (при наличии отчества) для индивидуального предпринимателя): 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юридического лица (или адрес места жительства – для индивидуального предпринимателя):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для почтовых отправлений: 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Телефон:_________________________________________________________________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numPr>
          <w:ilvl w:val="0"/>
          <w:numId w:val="1"/>
        </w:numPr>
        <w:ind w:left="0" w:firstLine="0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электронной почты: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numPr>
          <w:ilvl w:val="0"/>
          <w:numId w:val="1"/>
        </w:numPr>
        <w:ind w:left="0" w:firstLine="0"/>
        <w:jc w:val="both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Учредители - полное наименование юридического лица и его организационно правовая форма (или ФИО для учредителя – физического лица)/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членов коллегиального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spacing w:before="0"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единоличного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лиц, уполномоченных действовать от имени участника предварительного отбора: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spacing w:before="0" w:after="12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numPr>
          <w:ilvl w:val="0"/>
          <w:numId w:val="1"/>
        </w:numPr>
        <w:ind w:left="0" w:firstLine="0"/>
        <w:jc w:val="both"/>
        <w:spacing w:before="12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(указывается полное наименование и организационно-правовая форма юридического лица или Фамилия Имя Отчество (при наличии отчества) для индивидуального предпринимателя)  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подтверждает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850"/>
        <w:jc w:val="both"/>
        <w:spacing w:before="0" w:after="0" w:line="240" w:lineRule="auto"/>
        <w:tabs>
          <w:tab w:val="left" w:pos="284" w:leader="none"/>
          <w:tab w:val="clear" w:pos="708" w:leader="none"/>
          <w:tab w:val="left" w:pos="99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Приложения: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  <w:lang w:val="en-US"/>
        </w:rPr>
        <w:t xml:space="preserve">V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. Документации о проведении предварительного отбора)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spacing w:before="0"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ind w:left="6379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2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МИНИМАЛЬНЫЙ РАЗМЕР СТОИМОСТИ ОКАЗАННЫХ УСЛУГ И (ИЛИ) ВЫПОЛНЕННЫХ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W w:w="9494" w:type="dxa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3"/>
        <w:gridCol w:w="5318"/>
        <w:gridCol w:w="3613"/>
      </w:tblGrid>
      <w:tr>
        <w:tblPrEx/>
        <w:trPr>
          <w:trHeight w:val="3552"/>
        </w:trPr>
        <w:tc>
          <w:tcPr>
            <w:shd w:val="clear" w:color="auto" w:fill="d9d9d9" w:themeFill="background1" w:themeFillShade="D9"/>
            <w:tcW w:w="563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Предельный размер обязательств  по договорам 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одряда на подготовку проектной документации, в соответствии с которым указанным участником предварительного отбора, являющимся членом саморегулируемой организации, основанной на членстве лиц, выполняющих инженерные изыскания, или саморегулируемой организац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ии, основанной на членстве лиц, осуществляющих подготовку проектной документации,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3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Минимальный размер стоимости оказанных услуг и (или) выполненных работ по исполненным контрактам и (или) договорам*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613"/>
        </w:trPr>
        <w:tc>
          <w:tcPr>
            <w:shd w:val="clear" w:color="auto" w:fill="d9d9d9" w:themeFill="background1" w:themeFillShade="D9"/>
            <w:tcW w:w="563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3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3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 превышает 25 миллионов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(первый уровень ответственности члена саморегулируемой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11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13" w:type="dxa"/>
            <w:textDirection w:val="lrTb"/>
            <w:noWrap w:val="false"/>
          </w:tcPr>
          <w:p>
            <w:pPr>
              <w:pStyle w:val="811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2 % от предельного размера обязательств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3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811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не превышает 50 миллионов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11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(второй уровень ответственности члена саморегулируемой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11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13" w:type="dxa"/>
            <w:textDirection w:val="lrTb"/>
            <w:noWrap w:val="false"/>
          </w:tcPr>
          <w:p>
            <w:pPr>
              <w:pStyle w:val="811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1 % от предельного размера обязательств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37"/>
        </w:trPr>
        <w:tc>
          <w:tcPr>
            <w:tcW w:w="563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811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не превышает 300 миллионов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11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(третий уровень ответственности члена саморегулируемой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11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13" w:type="dxa"/>
            <w:vMerge w:val="restart"/>
            <w:textDirection w:val="lrTb"/>
            <w:noWrap w:val="false"/>
          </w:tcPr>
          <w:p>
            <w:pPr>
              <w:pStyle w:val="811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0,3 % от предельного размера обязательств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37"/>
        </w:trPr>
        <w:tc>
          <w:tcPr>
            <w:tcW w:w="563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составляет 300 миллионов рублей и более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(четвертый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3" w:type="dxa"/>
            <w:vMerge w:val="continue"/>
            <w:textDirection w:val="lrTb"/>
            <w:noWrap w:val="false"/>
          </w:tcPr>
          <w:p>
            <w:pPr>
              <w:pStyle w:val="726"/>
              <w:jc w:val="left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</w:p>
    <w:p>
      <w:pPr>
        <w:pStyle w:val="726"/>
        <w:ind w:firstLine="540"/>
        <w:jc w:val="both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*</w:t>
      </w:r>
      <w:r>
        <w:rPr>
          <w:rFonts w:ascii="Times New Roman" w:hAnsi="Times New Roman" w:eastAsia="Calibri" w:cs="Times New Roman"/>
          <w:sz w:val="24"/>
          <w:szCs w:val="24"/>
        </w:rPr>
        <w:t xml:space="preserve"> 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  <w:highlight w:val="cyan"/>
        </w:rPr>
        <w:sectPr>
          <w:headerReference w:type="default" r:id="rId10"/>
          <w:headerReference w:type="first" r:id="rId11"/>
          <w:footnotePr/>
          <w:endnotePr/>
          <w:type w:val="nextPage"/>
          <w:pgSz w:w="11906" w:h="16838" w:orient="portrait"/>
          <w:pgMar w:top="1134" w:right="567" w:bottom="1134" w:left="1418" w:header="708" w:footer="0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</w:p>
    <w:p>
      <w:pPr>
        <w:pStyle w:val="726"/>
        <w:ind w:left="5812"/>
        <w:jc w:val="right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3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jc w:val="both"/>
        <w:spacing w:before="12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jc w:val="both"/>
        <w:spacing w:before="12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ШТАТНО-СПИСОЧНОГО СОСТАВА СОТРУДНИКОВ </w:t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726"/>
        <w:jc w:val="center"/>
        <w:spacing w:before="0" w:after="12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pStyle w:val="726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Участник предварительного отбора подрядных организаций: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(указывается полное наименование и организационно правовая форма для юридического лица или Фамилия, Имя, Отчество (при наличии отчества) для индивидуального предпринимателя)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     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tbl>
      <w:tblPr>
        <w:tblW w:w="14614" w:type="dxa"/>
        <w:tblInd w:w="41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1701"/>
        <w:gridCol w:w="1701"/>
        <w:gridCol w:w="2977"/>
        <w:gridCol w:w="3118"/>
        <w:gridCol w:w="2990"/>
      </w:tblGrid>
      <w:tr>
        <w:tblPrEx/>
        <w:trPr>
          <w:trHeight w:val="1964"/>
        </w:trPr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26"/>
              <w:ind w:firstLine="43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2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Фамилия, имя, отчество работника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2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2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26"/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Общий трудовой стаж по профессии, специальности или направлению подготовки в области инженерных изысканий и архитектурно-строительного проектирования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26"/>
              <w:ind w:right="102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(лет)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включении в реестр специалистов в области инженерных изысканий и архитектурно-строительного проектирования</w:t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pStyle w:val="72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2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необходимых сертификатов, лицензий, наличие удостоверений по соответствующим допускам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7"/>
        </w:trPr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726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72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2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2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pStyle w:val="72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2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26"/>
              <w:ind w:right="-37"/>
              <w:jc w:val="center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26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26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726"/>
              <w:ind w:right="-37"/>
              <w:jc w:val="center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0" w:type="dxa"/>
            <w:textDirection w:val="lrTb"/>
            <w:noWrap w:val="false"/>
          </w:tcPr>
          <w:p>
            <w:pPr>
              <w:pStyle w:val="726"/>
              <w:ind w:right="-37"/>
              <w:spacing w:before="0" w:after="160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Примечание: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Данные формируются в разрезе каждого сотрудника, удовлетворяющего требованиям к минимальному количеству квалифицированного персонала, установленным органом по ведению реестра квалифицированных подрядных организаций в пункте «л» раздела </w:t>
      </w:r>
      <w:r>
        <w:rPr>
          <w:rFonts w:ascii="Times New Roman" w:hAnsi="Times New Roman" w:eastAsia="Times New Roman" w:cs="Times New Roman"/>
          <w:i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V Документации.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Табличная форма включает в себя следующие данные: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«№ п/п» указывается номер строки по порядку;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«Фамилия, имя, отчество работника» указываются фамилия имя и отчество (при наличии отчества) сотрудника;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«Образование» указываются сведения об образовании и полученной специальности сотрудника, соответствующие данным предоставляемого диплома или другого документа об образовании;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«Должность» указываются сведения о должности сотрудника, занимаемой в данной организации, соответствующие сведениям трудового договора;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«Общий трудовой стаж по профессии, специальности или направлению подготовки в области строительства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(лет)» указываются сведения о стаже работы сотрудника в сфере строительства, которые должны соответствовать сведениям в документах, предоставляемых участником предварительного отбора (трудовым книжкам, дипломам, трудовым договорам);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bCs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«Сведения о включении в реестр специалистов в области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инженерных изысканий и архитектурно-строительного проектирования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)» - ук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азываются сведения о наличии специалистов по организации инженерных изысканий (главных инженеров проектов), специалистов по организации архитектурно-строительного проектирования (главных инженеров проектов, главных архитекторов проектов), специалистов по о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рганизации строительства (главных инженеров проектов), сведения о которых включены в национальные реестры специалистов, предусмотренные статьей 55.5-1 Градостроительного кодекса Российской Федерации, - не менее чем два специалиста по месту основной работы;</w:t>
      </w:r>
      <w:r>
        <w:rPr>
          <w:rFonts w:ascii="Times New Roman" w:hAnsi="Times New Roman" w:eastAsia="Times New Roman" w:cs="Times New Roman"/>
          <w:bCs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«Наличие необходимых сертификатов, лицензий,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 удостоверений» указываются сведения об имеющихся у сотрудника сертификатах, разрешений и пр. документов,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firstLine="709"/>
        <w:jc w:val="right"/>
        <w:spacing w:before="0"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 4</w:t>
      </w:r>
      <w:r/>
    </w:p>
    <w:p>
      <w:pPr>
        <w:pStyle w:val="726"/>
        <w:ind w:firstLine="709"/>
        <w:jc w:val="right"/>
        <w:spacing w:before="0" w:after="0" w:line="240" w:lineRule="auto"/>
      </w:pPr>
      <w:r/>
      <w:r/>
    </w:p>
    <w:p>
      <w:pPr>
        <w:pStyle w:val="726"/>
        <w:ind w:firstLine="709"/>
        <w:jc w:val="center"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МИНИМАЛЬНОМУ КОЛИЧЕСТВУ КВАЛИФИЦИРОВАННОГО ПЕРСОНАЛА, ВХОДЯЩЕГО В ШТАТ УЧАСТНИКА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tbl>
      <w:tblPr>
        <w:tblW w:w="1470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64"/>
        <w:gridCol w:w="3066"/>
        <w:gridCol w:w="3650"/>
        <w:gridCol w:w="2577"/>
        <w:gridCol w:w="1639"/>
        <w:gridCol w:w="3112"/>
      </w:tblGrid>
      <w:tr>
        <w:tblPrEx/>
        <w:trPr>
          <w:trHeight w:val="1574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Должность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Образование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Стаж работы по специальности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Количество человек, не менее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Требование по включению в реестр специалистов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561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Индивидуальный предприниматель/руководитель юридического лица, самостоятельно организующие строительство</w:t>
            </w:r>
            <w:r/>
          </w:p>
          <w:p>
            <w:pPr>
              <w:pStyle w:val="726"/>
              <w:spacing w:before="0" w:after="16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инженерных изысканий и архитектурно-строительного проектирования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менее 5 лет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Работник индивидуального предпринимателя/  юридического лица – специалист по организации по организации инженерных изысканий (главный инженер проектов), архитектурно-строительного проектирования (главных инженеров проектов, главных архитекторов проектов) </w:t>
            </w:r>
            <w:r/>
          </w:p>
          <w:p>
            <w:pPr>
              <w:pStyle w:val="726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/>
          </w:p>
          <w:p>
            <w:pPr>
              <w:pStyle w:val="726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pStyle w:val="726"/>
              <w:spacing w:before="0" w:after="16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/>
          </w:p>
          <w:p>
            <w:pPr>
              <w:pStyle w:val="726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 основному месту работы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специалисте должны быть включены в национальный реестр специалистов в области инженерных изысканий и архитектурно-строительного проектирования</w:t>
            </w:r>
            <w:r/>
          </w:p>
          <w:p>
            <w:pPr>
              <w:pStyle w:val="726"/>
              <w:jc w:val="both"/>
              <w:spacing w:before="0" w:after="0" w:line="240" w:lineRule="auto"/>
            </w:pPr>
            <w:r/>
            <w:r/>
          </w:p>
          <w:p>
            <w:pPr>
              <w:pStyle w:val="726"/>
              <w:jc w:val="both"/>
              <w:spacing w:before="0"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pStyle w:val="726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ПРЕДВАРИТЕЛЬНОГО ОТБОРА ОПЫТА ОКАЗАНИЯ УСЛУГ И (ИЛИ) ВЫПОЛНЕНИЯ РАБОТ, АНАЛОГИЧНЫХ ПРЕДМЕТУ ПРЕДВАРИТЕЛЬНОГО ОТБОРА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14601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1"/>
        <w:gridCol w:w="1849"/>
        <w:gridCol w:w="1955"/>
        <w:gridCol w:w="1956"/>
        <w:gridCol w:w="2827"/>
        <w:gridCol w:w="2593"/>
        <w:gridCol w:w="2819"/>
      </w:tblGrid>
      <w:tr>
        <w:tblPrEx/>
        <w:trPr>
          <w:trHeight w:val="2632"/>
        </w:trPr>
        <w:tc>
          <w:tcPr>
            <w:shd w:val="clear" w:color="auto" w:fill="d9d9d9" w:themeFill="background1" w:themeFillShade="D9"/>
            <w:tcW w:w="601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9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Наименование, дата заключения и номер контракта и (или)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Установленный срок оказания услуг и (или) выполнения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6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Первоначальная стоимость услуг и (или) работ,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7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Наименование, дата и номер актов приемки оказанных услуг и (или) выполненных работ по контракту и (или) договору или иных документов, подтверждающих приемку услуг и (или)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Окончательная стоимость услуг и (или) работ (согласно актам приемки оказанных услуг и (или) выполненных работ),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19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Наличие подтверждения приемки заказчиком услуг и (или) работ по контракту и (или) договору, оказанных и (или) выполненных в полном объеме (наличие/отсутствие подписи заказчика о приемке)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shd w:val="clear" w:color="auto" w:fill="d9d9d9" w:themeFill="background1" w:themeFillShade="D9"/>
            <w:tcW w:w="601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9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6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7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19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7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19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7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19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1" w:type="dxa"/>
            <w:textDirection w:val="lrTb"/>
            <w:noWrap w:val="false"/>
          </w:tcPr>
          <w:p>
            <w:pPr>
              <w:pStyle w:val="726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7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19" w:type="dxa"/>
            <w:textDirection w:val="lrTb"/>
            <w:noWrap w:val="false"/>
          </w:tcPr>
          <w:p>
            <w:pPr>
              <w:pStyle w:val="726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headerReference w:type="default" r:id="rId12"/>
          <w:headerReference w:type="first" r:id="rId13"/>
          <w:footnotePr/>
          <w:endnotePr/>
          <w:type w:val="nextPage"/>
          <w:pgSz w:w="16838" w:h="11906" w:orient="landscape"/>
          <w:pgMar w:top="1418" w:right="1134" w:bottom="567" w:left="1134" w:header="709" w:footer="0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ab/>
        <w:tab/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left="5812"/>
        <w:jc w:val="right"/>
        <w:spacing w:before="0"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pStyle w:val="726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eastAsia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pStyle w:val="72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7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СОГЛАСИЕ </w:t>
      </w:r>
      <w:r>
        <w:rPr>
          <w:rFonts w:ascii="Times New Roman" w:hAnsi="Times New Roman" w:cs="Times New Roman"/>
        </w:rPr>
      </w:r>
    </w:p>
    <w:p>
      <w:pPr>
        <w:pStyle w:val="72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 обработку персональных данных 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726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Я, субъект персональных данных: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______________________________________________________________________</w:t>
      </w:r>
      <w:r>
        <w:rPr>
          <w:rFonts w:ascii="Times New Roman" w:hAnsi="Times New Roman" w:cs="Times New Roman"/>
        </w:rPr>
      </w:r>
    </w:p>
    <w:p>
      <w:pPr>
        <w:pStyle w:val="7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(Ф.И.О. полностью)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26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основной документ, удостоверяющий личность:_____________________________</w:t>
      </w:r>
      <w:r>
        <w:rPr>
          <w:rFonts w:ascii="Times New Roman" w:hAnsi="Times New Roman" w:cs="Times New Roman"/>
        </w:rPr>
      </w:r>
    </w:p>
    <w:p>
      <w:pPr>
        <w:pStyle w:val="7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(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наименование, серия, номер, дата выдачи, выдавший орган, код подразделения)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26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зарегистрированного(-ой) по адресу: ______________________________________________________________________ </w:t>
      </w:r>
      <w:r>
        <w:rPr>
          <w:rFonts w:ascii="Times New Roman" w:hAnsi="Times New Roman" w:cs="Times New Roman"/>
        </w:rPr>
      </w:r>
    </w:p>
    <w:p>
      <w:pPr>
        <w:pStyle w:val="7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соответствии со ст. 9 Федерального закона от 27.07.2006 № 152-ФЗ «О персональных данных» даю конкретное, предметное</w:t>
      </w:r>
      <w:r>
        <w:rPr>
          <w:rFonts w:ascii="Times New Roman" w:hAnsi="Times New Roman" w:eastAsia="Times New Roman" w:cs="Times New Roman"/>
        </w:rPr>
        <w:t xml:space="preserve">, информированное, сознательное и однозначное согласие на обработку своих персональных данных, указанных в любой из частей заявки на участие в предварительном отборе на право включения ______________________________________________________________________ </w:t>
      </w:r>
      <w:r>
        <w:rPr>
          <w:rFonts w:ascii="Times New Roman" w:hAnsi="Times New Roman" w:cs="Times New Roman"/>
        </w:rPr>
      </w:r>
    </w:p>
    <w:p>
      <w:pPr>
        <w:pStyle w:val="7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(наименование участника предварительного отбора и ИНН)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7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реестр квалифицированных подрядных организаций, имеющих право принимать участие в электронных аукционах, предметом которых является оказание услуг и (или) выполнени</w:t>
      </w:r>
      <w:r>
        <w:rPr>
          <w:rFonts w:ascii="Times New Roman" w:hAnsi="Times New Roman" w:eastAsia="Times New Roman" w:cs="Times New Roman"/>
        </w:rPr>
        <w:t xml:space="preserve">е работ по капитальному ремонту общего имущества многоквартирных домов (указать номер предварительного отбора) органу, уполномоченному на ведение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Новосибирской области от 24.08.2016 № 242-п</w:t>
      </w:r>
      <w:r>
        <w:rPr>
          <w:rFonts w:ascii="Times New Roman" w:hAnsi="Times New Roman" w:eastAsia="Times New Roman" w:cs="Times New Roman"/>
        </w:rPr>
        <w:t xml:space="preserve">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 (ИНН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5406793110</w:t>
      </w:r>
      <w:r>
        <w:rPr>
          <w:rFonts w:ascii="Times New Roman" w:hAnsi="Times New Roman" w:eastAsia="Times New Roman" w:cs="Times New Roman"/>
        </w:rPr>
        <w:t xml:space="preserve">, далее - оператор), находящемуся по адресу: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630091, г. Новосибирск, ул. Фрунзе, 5, оф. 639</w:t>
      </w:r>
      <w:r>
        <w:rPr>
          <w:rFonts w:ascii="Times New Roman" w:hAnsi="Times New Roman" w:eastAsia="Times New Roman" w:cs="Times New Roman"/>
        </w:rPr>
        <w:t xml:space="preserve">, с целью исполнения требований п. 25 и пп. в) п. 38 Положения, утвержденного постановлением Правительства Российской Федерации от 01.07.2016 № 615 «О порядке привлечения подря</w:t>
      </w:r>
      <w:r>
        <w:rPr>
          <w:rFonts w:ascii="Times New Roman" w:hAnsi="Times New Roman" w:eastAsia="Times New Roman" w:cs="Times New Roman"/>
        </w:rPr>
        <w:t xml:space="preserve">дных организаций для оказания услуг и (или) выполнения работ по капитальному ремонту общего имущества в многоквартирном доме, порядке осуществления закупок товаров, работ, услуг в целях выполнения функций специализированной некоммерческой организации, осущ</w:t>
      </w:r>
      <w:r>
        <w:rPr>
          <w:rFonts w:ascii="Times New Roman" w:hAnsi="Times New Roman" w:eastAsia="Times New Roman" w:cs="Times New Roman"/>
        </w:rPr>
        <w:t xml:space="preserve">ествляющей деятельность, направленную на обеспечение проведения капитального ремонта общего имущества в многоквартирных домах, о порядке осуществления специализированной некоммерческой организацией, осуществляющей деятельность, направленную на обеспечение </w:t>
      </w:r>
      <w:r>
        <w:rPr>
          <w:rFonts w:ascii="Times New Roman" w:hAnsi="Times New Roman" w:eastAsia="Times New Roman" w:cs="Times New Roman"/>
        </w:rPr>
        <w:t xml:space="preserve">проведения капитального ремонта общего имущества в многоквартирных домах, закупки товаров (материалов и оборудования, в том числе высокотехнологичного оборудования), необходимых для оказания услуг и (или) выполнения работ по капитальному ремонту общего иму</w:t>
      </w:r>
      <w:r>
        <w:rPr>
          <w:rFonts w:ascii="Times New Roman" w:hAnsi="Times New Roman" w:eastAsia="Times New Roman" w:cs="Times New Roman"/>
        </w:rPr>
        <w:t xml:space="preserve">щества в многоквартирном доме, и реализации закупленных и не использованных на проведение капитального ремонта общего имущества в многоквартирном доме товаров (материалов и оборудования, в том числе высокотехнологичного оборудования)» (далее - Положение). </w:t>
      </w:r>
      <w:r>
        <w:rPr>
          <w:rFonts w:ascii="Times New Roman" w:hAnsi="Times New Roman" w:cs="Times New Roman"/>
        </w:rPr>
      </w:r>
    </w:p>
    <w:p>
      <w:pPr>
        <w:pStyle w:val="726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 моих персональных данных, на обработку которых я даю согласие: фамилия, имя, отчество (при наличии), дата рождения, номер основног</w:t>
      </w:r>
      <w:r>
        <w:rPr>
          <w:rFonts w:ascii="Times New Roman" w:hAnsi="Times New Roman" w:eastAsia="Times New Roman" w:cs="Times New Roman"/>
        </w:rPr>
        <w:t xml:space="preserve">о документа, удостоверяющего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данные о трудовой деятельности. </w:t>
      </w:r>
      <w:r>
        <w:rPr>
          <w:rFonts w:ascii="Times New Roman" w:hAnsi="Times New Roman" w:cs="Times New Roman"/>
        </w:rPr>
      </w:r>
    </w:p>
    <w:p>
      <w:pPr>
        <w:pStyle w:val="726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Разрешаю оператору производить автоматизированную, а также осуществляемую без использования средств автома</w:t>
      </w:r>
      <w:r>
        <w:rPr>
          <w:rFonts w:ascii="Times New Roman" w:hAnsi="Times New Roman" w:eastAsia="Times New Roman" w:cs="Times New Roman"/>
        </w:rPr>
        <w:t xml:space="preserve">тизации обработку моих персональных данных, а именно: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. </w:t>
      </w:r>
      <w:r>
        <w:rPr>
          <w:rFonts w:ascii="Times New Roman" w:hAnsi="Times New Roman" w:cs="Times New Roman"/>
        </w:rPr>
      </w:r>
    </w:p>
    <w:p>
      <w:pPr>
        <w:pStyle w:val="726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Согласие вступает в силу со дня его подписания и действуют в случае: </w:t>
      </w:r>
      <w:r>
        <w:rPr>
          <w:rFonts w:ascii="Times New Roman" w:hAnsi="Times New Roman" w:cs="Times New Roman"/>
        </w:rPr>
      </w:r>
    </w:p>
    <w:p>
      <w:pPr>
        <w:pStyle w:val="726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включения участника 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  <w:r>
        <w:rPr>
          <w:rFonts w:ascii="Times New Roman" w:hAnsi="Times New Roman" w:cs="Times New Roman"/>
        </w:rPr>
      </w:r>
    </w:p>
    <w:p>
      <w:pPr>
        <w:pStyle w:val="726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не включения в РКПО в течение срока, предусмотренного для обжалования решения Комиссии по предварительному отбору, установленного законодательством Российской Федерации. </w:t>
      </w:r>
      <w:r>
        <w:rPr>
          <w:rFonts w:ascii="Times New Roman" w:hAnsi="Times New Roman" w:cs="Times New Roman"/>
        </w:rPr>
      </w:r>
    </w:p>
    <w:p>
      <w:pPr>
        <w:pStyle w:val="726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 вправе отозвать настоящее согласие на обработку своих персональных данных, письменно уведомив об этом оператора.</w:t>
      </w:r>
      <w:r>
        <w:rPr>
          <w:rFonts w:ascii="Times New Roman" w:hAnsi="Times New Roman" w:cs="Times New Roman"/>
        </w:rPr>
      </w:r>
    </w:p>
    <w:p>
      <w:pPr>
        <w:pStyle w:val="726"/>
        <w:ind w:left="0" w:righ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данных: </w:t>
      </w:r>
      <w:r>
        <w:rPr>
          <w:rFonts w:ascii="Times New Roman" w:hAnsi="Times New Roman" w:cs="Times New Roman"/>
          <w:highlight w:val="none"/>
        </w:rPr>
      </w:r>
    </w:p>
    <w:p>
      <w:pPr>
        <w:pStyle w:val="726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6"/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   </w:t>
      </w:r>
      <w:r>
        <w:rPr>
          <w:rFonts w:ascii="Times New Roman" w:hAnsi="Times New Roman" w:eastAsia="Times New Roman" w:cs="Times New Roman"/>
        </w:rPr>
        <w:t xml:space="preserve">«           »          20     г. </w:t>
      </w:r>
      <w:r>
        <w:rPr>
          <w:rFonts w:ascii="Times New Roman" w:hAnsi="Times New Roman" w:cs="Times New Roman"/>
          <w:highlight w:val="none"/>
        </w:rPr>
      </w:r>
    </w:p>
    <w:p>
      <w:pPr>
        <w:pStyle w:val="726"/>
        <w:ind w:left="0" w:right="0" w:firstLine="70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6"/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_______________________________________________________________</w:t>
      </w:r>
      <w:r>
        <w:rPr>
          <w:rFonts w:ascii="Times New Roman" w:hAnsi="Times New Roman" w:eastAsia="Times New Roman" w:cs="Times New Roman"/>
        </w:rPr>
        <w:t xml:space="preserve">__</w:t>
      </w:r>
      <w:r>
        <w:rPr>
          <w:rFonts w:ascii="Times New Roman" w:hAnsi="Times New Roman" w:cs="Times New Roman"/>
          <w:highlight w:val="none"/>
        </w:rPr>
      </w:r>
    </w:p>
    <w:p>
      <w:pPr>
        <w:pStyle w:val="726"/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(подпись)                           (Ф.И.О. с расшифровкой)                          (дата подписания согласия) </w:t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pStyle w:val="726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26"/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26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26"/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Согласие на обработку персональных данных заполняется собственноручно синей ручкой</w:t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</w:pPr>
      <w:r/>
      <w:r/>
    </w:p>
    <w:p>
      <w:pPr>
        <w:pStyle w:val="726"/>
      </w:pPr>
      <w:r/>
      <w:r/>
    </w:p>
    <w:p>
      <w:pPr>
        <w:pStyle w:val="726"/>
        <w:jc w:val="center"/>
        <w:spacing w:before="0"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cyan"/>
        </w:rPr>
      </w:r>
    </w:p>
    <w:p>
      <w:pPr>
        <w:pStyle w:val="726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726"/>
        <w:ind w:left="36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pStyle w:val="726"/>
        <w:ind w:left="360"/>
        <w:jc w:val="center"/>
        <w:spacing w:before="0" w:after="0" w:line="240" w:lineRule="auto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sectPr>
      <w:headerReference w:type="default" r:id="rId14"/>
      <w:headerReference w:type="first" r:id="rId15"/>
      <w:footnotePr/>
      <w:endnotePr/>
      <w:type w:val="nextPage"/>
      <w:pgSz w:w="11906" w:h="16838" w:orient="portrait"/>
      <w:pgMar w:top="1134" w:right="567" w:bottom="1134" w:left="1418" w:header="708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Sans Serif">
    <w:panose1 w:val="00000709000000000000"/>
  </w:font>
  <w:font w:name="Mangal">
    <w:panose1 w:val="020405030504060302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8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17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  <w:p>
    <w:pPr>
      <w:pStyle w:val="80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8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20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  <w:p>
    <w:pPr>
      <w:pStyle w:val="80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8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24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  <w:p>
    <w:pPr>
      <w:pStyle w:val="808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8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26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  <w:p>
    <w:pPr>
      <w:pStyle w:val="808"/>
    </w:pPr>
    <w:r/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192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6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560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064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568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72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76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52" w:hanging="144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26" w:default="1">
    <w:name w:val="Normal"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27">
    <w:name w:val="Heading 1"/>
    <w:basedOn w:val="72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8">
    <w:name w:val="Heading 2"/>
    <w:basedOn w:val="72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9">
    <w:name w:val="Heading 3"/>
    <w:basedOn w:val="72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0">
    <w:name w:val="Heading 4"/>
    <w:basedOn w:val="72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1">
    <w:name w:val="Heading 5"/>
    <w:basedOn w:val="72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72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3">
    <w:name w:val="Heading 7"/>
    <w:basedOn w:val="7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4">
    <w:name w:val="Heading 8"/>
    <w:basedOn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5">
    <w:name w:val="Heading 9"/>
    <w:basedOn w:val="72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6">
    <w:name w:val="Heading 1 Char"/>
    <w:basedOn w:val="758"/>
    <w:uiPriority w:val="9"/>
    <w:qFormat/>
    <w:rPr>
      <w:rFonts w:ascii="Arial" w:hAnsi="Arial" w:eastAsia="Arial" w:cs="Arial"/>
      <w:sz w:val="40"/>
      <w:szCs w:val="40"/>
    </w:rPr>
  </w:style>
  <w:style w:type="character" w:styleId="737">
    <w:name w:val="Heading 2 Char"/>
    <w:basedOn w:val="758"/>
    <w:uiPriority w:val="9"/>
    <w:qFormat/>
    <w:rPr>
      <w:rFonts w:ascii="Arial" w:hAnsi="Arial" w:eastAsia="Arial" w:cs="Arial"/>
      <w:sz w:val="34"/>
    </w:rPr>
  </w:style>
  <w:style w:type="character" w:styleId="738">
    <w:name w:val="Heading 3 Char"/>
    <w:basedOn w:val="758"/>
    <w:uiPriority w:val="9"/>
    <w:qFormat/>
    <w:rPr>
      <w:rFonts w:ascii="Arial" w:hAnsi="Arial" w:eastAsia="Arial" w:cs="Arial"/>
      <w:sz w:val="30"/>
      <w:szCs w:val="30"/>
    </w:rPr>
  </w:style>
  <w:style w:type="character" w:styleId="739">
    <w:name w:val="Heading 4 Char"/>
    <w:basedOn w:val="75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40">
    <w:name w:val="Heading 5 Char"/>
    <w:basedOn w:val="75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41">
    <w:name w:val="Heading 6 Char"/>
    <w:basedOn w:val="75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42">
    <w:name w:val="Heading 7 Char"/>
    <w:basedOn w:val="75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43">
    <w:name w:val="Heading 8 Char"/>
    <w:basedOn w:val="75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44">
    <w:name w:val="Heading 9 Char"/>
    <w:basedOn w:val="75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45">
    <w:name w:val="Title Char"/>
    <w:basedOn w:val="758"/>
    <w:uiPriority w:val="10"/>
    <w:qFormat/>
    <w:rPr>
      <w:sz w:val="48"/>
      <w:szCs w:val="48"/>
    </w:rPr>
  </w:style>
  <w:style w:type="character" w:styleId="746">
    <w:name w:val="Subtitle Char"/>
    <w:basedOn w:val="758"/>
    <w:uiPriority w:val="11"/>
    <w:qFormat/>
    <w:rPr>
      <w:sz w:val="24"/>
      <w:szCs w:val="24"/>
    </w:rPr>
  </w:style>
  <w:style w:type="character" w:styleId="747">
    <w:name w:val="Quote Char"/>
    <w:uiPriority w:val="29"/>
    <w:qFormat/>
    <w:rPr>
      <w:i/>
    </w:rPr>
  </w:style>
  <w:style w:type="character" w:styleId="748">
    <w:name w:val="Intense Quote Char"/>
    <w:uiPriority w:val="30"/>
    <w:qFormat/>
    <w:rPr>
      <w:i/>
    </w:rPr>
  </w:style>
  <w:style w:type="character" w:styleId="749">
    <w:name w:val="Header Char"/>
    <w:basedOn w:val="758"/>
    <w:uiPriority w:val="99"/>
    <w:qFormat/>
  </w:style>
  <w:style w:type="character" w:styleId="750">
    <w:name w:val="Footer Char"/>
    <w:basedOn w:val="758"/>
    <w:uiPriority w:val="99"/>
    <w:qFormat/>
  </w:style>
  <w:style w:type="character" w:styleId="751">
    <w:name w:val="Caption Char"/>
    <w:uiPriority w:val="99"/>
    <w:qFormat/>
  </w:style>
  <w:style w:type="character" w:styleId="752">
    <w:name w:val="Footnote Text Char"/>
    <w:uiPriority w:val="99"/>
    <w:qFormat/>
    <w:rPr>
      <w:sz w:val="18"/>
    </w:rPr>
  </w:style>
  <w:style w:type="character" w:styleId="753">
    <w:name w:val="Footnote Characters"/>
    <w:uiPriority w:val="99"/>
    <w:unhideWhenUsed/>
    <w:qFormat/>
    <w:rPr>
      <w:vertAlign w:val="superscript"/>
    </w:rPr>
  </w:style>
  <w:style w:type="character" w:styleId="754">
    <w:name w:val="footnote reference"/>
    <w:rPr>
      <w:vertAlign w:val="superscript"/>
    </w:rPr>
  </w:style>
  <w:style w:type="character" w:styleId="755">
    <w:name w:val="Endnote Text Char"/>
    <w:uiPriority w:val="99"/>
    <w:qFormat/>
    <w:rPr>
      <w:sz w:val="20"/>
    </w:rPr>
  </w:style>
  <w:style w:type="character" w:styleId="756">
    <w:name w:val="Endnote Characters"/>
    <w:uiPriority w:val="99"/>
    <w:semiHidden/>
    <w:unhideWhenUsed/>
    <w:qFormat/>
    <w:rPr>
      <w:vertAlign w:val="superscript"/>
    </w:rPr>
  </w:style>
  <w:style w:type="character" w:styleId="757">
    <w:name w:val="endnote reference"/>
    <w:rPr>
      <w:vertAlign w:val="superscript"/>
    </w:rPr>
  </w:style>
  <w:style w:type="character" w:styleId="758" w:default="1">
    <w:name w:val="Default Paragraph Font"/>
    <w:uiPriority w:val="1"/>
    <w:semiHidden/>
    <w:unhideWhenUsed/>
    <w:qFormat/>
  </w:style>
  <w:style w:type="character" w:styleId="759">
    <w:name w:val="Hyperlink"/>
    <w:basedOn w:val="758"/>
    <w:uiPriority w:val="99"/>
    <w:unhideWhenUsed/>
    <w:rPr>
      <w:color w:val="0563c1" w:themeColor="hyperlink"/>
      <w:u w:val="single"/>
    </w:rPr>
  </w:style>
  <w:style w:type="character" w:styleId="760" w:customStyle="1">
    <w:name w:val="Гипертекстовая ссылка"/>
    <w:basedOn w:val="758"/>
    <w:uiPriority w:val="99"/>
    <w:qFormat/>
    <w:rPr>
      <w:b/>
      <w:bCs/>
      <w:color w:val="106bbe"/>
    </w:rPr>
  </w:style>
  <w:style w:type="character" w:styleId="761">
    <w:name w:val="FollowedHyperlink"/>
    <w:basedOn w:val="758"/>
    <w:uiPriority w:val="99"/>
    <w:semiHidden/>
    <w:unhideWhenUsed/>
    <w:rPr>
      <w:color w:val="800080"/>
      <w:u w:val="single"/>
    </w:rPr>
  </w:style>
  <w:style w:type="character" w:styleId="762" w:customStyle="1">
    <w:name w:val="Верхний колонтитул Знак"/>
    <w:basedOn w:val="758"/>
    <w:uiPriority w:val="99"/>
    <w:qFormat/>
  </w:style>
  <w:style w:type="character" w:styleId="763" w:customStyle="1">
    <w:name w:val="Нижний колонтитул Знак"/>
    <w:basedOn w:val="758"/>
    <w:uiPriority w:val="99"/>
    <w:qFormat/>
  </w:style>
  <w:style w:type="character" w:styleId="764" w:customStyle="1">
    <w:name w:val="Текст выноски Знак"/>
    <w:basedOn w:val="758"/>
    <w:uiPriority w:val="99"/>
    <w:semiHidden/>
    <w:qFormat/>
    <w:rPr>
      <w:rFonts w:ascii="Tahoma" w:hAnsi="Tahoma" w:cs="Tahoma"/>
      <w:sz w:val="16"/>
      <w:szCs w:val="16"/>
    </w:rPr>
  </w:style>
  <w:style w:type="character" w:styleId="765" w:customStyle="1">
    <w:name w:val="ConsPlusNormal Знак"/>
    <w:qFormat/>
    <w:rPr>
      <w:rFonts w:ascii="Calibri" w:hAnsi="Calibri" w:eastAsia="Times New Roman" w:cs="Calibri"/>
      <w:szCs w:val="20"/>
      <w:lang w:eastAsia="ru-RU"/>
    </w:rPr>
  </w:style>
  <w:style w:type="paragraph" w:styleId="766">
    <w:name w:val="Heading"/>
    <w:basedOn w:val="726"/>
    <w:next w:val="76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67">
    <w:name w:val="Body Text"/>
    <w:basedOn w:val="726"/>
    <w:pPr>
      <w:spacing w:before="0" w:after="140" w:line="276" w:lineRule="auto"/>
    </w:pPr>
  </w:style>
  <w:style w:type="paragraph" w:styleId="768">
    <w:name w:val="List"/>
    <w:basedOn w:val="767"/>
    <w:rPr>
      <w:rFonts w:cs="Mangal"/>
    </w:rPr>
  </w:style>
  <w:style w:type="paragraph" w:styleId="769">
    <w:name w:val="Caption"/>
    <w:basedOn w:val="7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70">
    <w:name w:val="Index"/>
    <w:basedOn w:val="726"/>
    <w:qFormat/>
    <w:pPr>
      <w:suppressLineNumbers/>
    </w:pPr>
    <w:rPr>
      <w:rFonts w:cs="Mangal"/>
    </w:rPr>
  </w:style>
  <w:style w:type="paragraph" w:styleId="771">
    <w:name w:val="Title"/>
    <w:basedOn w:val="726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72">
    <w:name w:val="Subtitle"/>
    <w:basedOn w:val="726"/>
    <w:uiPriority w:val="11"/>
    <w:qFormat/>
    <w:pPr>
      <w:spacing w:before="200" w:after="200"/>
    </w:pPr>
    <w:rPr>
      <w:sz w:val="24"/>
      <w:szCs w:val="24"/>
    </w:rPr>
  </w:style>
  <w:style w:type="paragraph" w:styleId="773">
    <w:name w:val="Quote"/>
    <w:basedOn w:val="726"/>
    <w:uiPriority w:val="29"/>
    <w:qFormat/>
    <w:pPr>
      <w:ind w:left="720" w:right="720"/>
    </w:pPr>
    <w:rPr>
      <w:i/>
    </w:rPr>
  </w:style>
  <w:style w:type="paragraph" w:styleId="774">
    <w:name w:val="Intense Quote"/>
    <w:basedOn w:val="726"/>
    <w:uiPriority w:val="30"/>
    <w:qFormat/>
    <w:pPr>
      <w:ind w:left="720" w:right="72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75">
    <w:name w:val="footnote text"/>
    <w:basedOn w:val="726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76">
    <w:name w:val="endnote text"/>
    <w:basedOn w:val="726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77">
    <w:name w:val="toc 1"/>
    <w:basedOn w:val="726"/>
    <w:uiPriority w:val="39"/>
    <w:unhideWhenUsed/>
    <w:pPr>
      <w:ind w:left="0" w:right="0" w:firstLine="0"/>
      <w:spacing w:before="0" w:after="57"/>
    </w:pPr>
  </w:style>
  <w:style w:type="paragraph" w:styleId="778">
    <w:name w:val="toc 2"/>
    <w:basedOn w:val="726"/>
    <w:uiPriority w:val="39"/>
    <w:unhideWhenUsed/>
    <w:pPr>
      <w:ind w:left="283" w:right="0" w:firstLine="0"/>
      <w:spacing w:before="0" w:after="57"/>
    </w:pPr>
  </w:style>
  <w:style w:type="paragraph" w:styleId="779">
    <w:name w:val="toc 3"/>
    <w:basedOn w:val="726"/>
    <w:uiPriority w:val="39"/>
    <w:unhideWhenUsed/>
    <w:pPr>
      <w:ind w:left="567" w:right="0" w:firstLine="0"/>
      <w:spacing w:before="0" w:after="57"/>
    </w:pPr>
  </w:style>
  <w:style w:type="paragraph" w:styleId="780">
    <w:name w:val="toc 4"/>
    <w:basedOn w:val="726"/>
    <w:uiPriority w:val="39"/>
    <w:unhideWhenUsed/>
    <w:pPr>
      <w:ind w:left="850" w:right="0" w:firstLine="0"/>
      <w:spacing w:before="0" w:after="57"/>
    </w:pPr>
  </w:style>
  <w:style w:type="paragraph" w:styleId="781">
    <w:name w:val="toc 5"/>
    <w:basedOn w:val="726"/>
    <w:uiPriority w:val="39"/>
    <w:unhideWhenUsed/>
    <w:pPr>
      <w:ind w:left="1134" w:right="0" w:firstLine="0"/>
      <w:spacing w:before="0" w:after="57"/>
    </w:pPr>
  </w:style>
  <w:style w:type="paragraph" w:styleId="782">
    <w:name w:val="toc 6"/>
    <w:basedOn w:val="726"/>
    <w:uiPriority w:val="39"/>
    <w:unhideWhenUsed/>
    <w:pPr>
      <w:ind w:left="1417" w:right="0" w:firstLine="0"/>
      <w:spacing w:before="0" w:after="57"/>
    </w:pPr>
  </w:style>
  <w:style w:type="paragraph" w:styleId="783">
    <w:name w:val="toc 7"/>
    <w:basedOn w:val="726"/>
    <w:uiPriority w:val="39"/>
    <w:unhideWhenUsed/>
    <w:pPr>
      <w:ind w:left="1701" w:right="0" w:firstLine="0"/>
      <w:spacing w:before="0" w:after="57"/>
    </w:pPr>
  </w:style>
  <w:style w:type="paragraph" w:styleId="784">
    <w:name w:val="toc 8"/>
    <w:basedOn w:val="726"/>
    <w:uiPriority w:val="39"/>
    <w:unhideWhenUsed/>
    <w:pPr>
      <w:ind w:left="1984" w:right="0" w:firstLine="0"/>
      <w:spacing w:before="0" w:after="57"/>
    </w:pPr>
  </w:style>
  <w:style w:type="paragraph" w:styleId="785">
    <w:name w:val="toc 9"/>
    <w:basedOn w:val="726"/>
    <w:uiPriority w:val="39"/>
    <w:unhideWhenUsed/>
    <w:pPr>
      <w:ind w:left="2268" w:right="0" w:firstLine="0"/>
      <w:spacing w:before="0" w:after="57"/>
    </w:pPr>
  </w:style>
  <w:style w:type="paragraph" w:styleId="786">
    <w:name w:val="Index Heading"/>
    <w:basedOn w:val="766"/>
  </w:style>
  <w:style w:type="paragraph" w:styleId="787">
    <w:name w:val="TOC Heading"/>
    <w:uiPriority w:val="39"/>
    <w:unhideWhenUsed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88">
    <w:name w:val="table of figures"/>
    <w:basedOn w:val="726"/>
    <w:uiPriority w:val="99"/>
    <w:unhideWhenUsed/>
    <w:pPr>
      <w:spacing w:before="0" w:after="0" w:afterAutospacing="0"/>
    </w:pPr>
  </w:style>
  <w:style w:type="paragraph" w:styleId="789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Arial" w:hAnsi="Arial" w:eastAsia="Times New Roman" w:cs="Arial" w:cstheme="minorBidi"/>
      <w:color w:val="auto"/>
      <w:sz w:val="24"/>
      <w:szCs w:val="24"/>
      <w:lang w:val="ru-RU" w:eastAsia="ru-RU" w:bidi="ar-SA"/>
    </w:rPr>
  </w:style>
  <w:style w:type="paragraph" w:styleId="790" w:customStyle="1">
    <w:name w:val="xl63"/>
    <w:basedOn w:val="726"/>
    <w:qFormat/>
    <w:pPr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791" w:customStyle="1">
    <w:name w:val="xl65"/>
    <w:basedOn w:val="726"/>
    <w:qFormat/>
    <w:pPr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792" w:customStyle="1">
    <w:name w:val="xl64"/>
    <w:basedOn w:val="726"/>
    <w:qFormat/>
    <w:pPr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793" w:customStyle="1">
    <w:name w:val="xl66"/>
    <w:basedOn w:val="726"/>
    <w:qFormat/>
    <w:pPr>
      <w:jc w:val="center"/>
      <w:spacing w:beforeAutospacing="1" w:afterAutospacing="1" w:line="240" w:lineRule="auto"/>
      <w:pBdr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94" w:customStyle="1">
    <w:name w:val="xl67"/>
    <w:basedOn w:val="726"/>
    <w:qFormat/>
    <w:pPr>
      <w:jc w:val="center"/>
      <w:spacing w:beforeAutospacing="1" w:afterAutospacing="1" w:line="240" w:lineRule="auto"/>
      <w:pBdr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95" w:customStyle="1">
    <w:name w:val="xl68"/>
    <w:basedOn w:val="726"/>
    <w:qFormat/>
    <w:pPr>
      <w:jc w:val="center"/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96" w:customStyle="1">
    <w:name w:val="xl69"/>
    <w:basedOn w:val="726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97" w:customStyle="1">
    <w:name w:val="xl70"/>
    <w:basedOn w:val="726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798" w:customStyle="1">
    <w:name w:val="xl71"/>
    <w:basedOn w:val="726"/>
    <w:qFormat/>
    <w:pPr>
      <w:jc w:val="center"/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799" w:customStyle="1">
    <w:name w:val="xl72"/>
    <w:basedOn w:val="726"/>
    <w:qFormat/>
    <w:pPr>
      <w:jc w:val="center"/>
      <w:spacing w:beforeAutospacing="1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800" w:customStyle="1">
    <w:name w:val="xl73"/>
    <w:basedOn w:val="726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801" w:customStyle="1">
    <w:name w:val="xl74"/>
    <w:basedOn w:val="726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802" w:customStyle="1">
    <w:name w:val="xl75"/>
    <w:basedOn w:val="726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03" w:customStyle="1">
    <w:name w:val="xl76"/>
    <w:basedOn w:val="726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04" w:customStyle="1">
    <w:name w:val="xl77"/>
    <w:basedOn w:val="726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805" w:customStyle="1">
    <w:name w:val="xl78"/>
    <w:basedOn w:val="726"/>
    <w:qFormat/>
    <w:pPr>
      <w:jc w:val="center"/>
      <w:spacing w:beforeAutospacing="1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806">
    <w:name w:val="List Paragraph"/>
    <w:basedOn w:val="726"/>
    <w:uiPriority w:val="34"/>
    <w:qFormat/>
    <w:pPr>
      <w:contextualSpacing/>
      <w:ind w:left="720"/>
      <w:spacing w:before="0" w:after="160"/>
    </w:pPr>
  </w:style>
  <w:style w:type="paragraph" w:styleId="807">
    <w:name w:val="Header and Footer"/>
    <w:basedOn w:val="726"/>
    <w:qFormat/>
  </w:style>
  <w:style w:type="paragraph" w:styleId="808">
    <w:name w:val="Header"/>
    <w:basedOn w:val="726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09">
    <w:name w:val="Footer"/>
    <w:basedOn w:val="726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10">
    <w:name w:val="Balloon Text"/>
    <w:basedOn w:val="726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11" w:customStyle="1">
    <w:name w:val="ConsPlusNormal"/>
    <w:qFormat/>
    <w:pPr>
      <w:jc w:val="left"/>
      <w:spacing w:before="0" w:beforeAutospacing="0" w:after="0" w:afterAutospacing="0" w:line="240" w:lineRule="auto"/>
      <w:widowControl w:val="off"/>
    </w:pPr>
    <w:rPr>
      <w:rFonts w:ascii="Calibri" w:hAnsi="Calibri" w:eastAsia="Times New Roman" w:cs="Calibri" w:asciiTheme="minorHAnsi" w:hAnsiTheme="minorHAnsi"/>
      <w:color w:val="auto"/>
      <w:sz w:val="22"/>
      <w:szCs w:val="20"/>
      <w:lang w:val="ru-RU" w:eastAsia="ru-RU" w:bidi="ar-SA"/>
    </w:rPr>
  </w:style>
  <w:style w:type="numbering" w:styleId="812" w:default="1">
    <w:name w:val="No List"/>
    <w:uiPriority w:val="99"/>
    <w:semiHidden/>
    <w:unhideWhenUsed/>
    <w:qFormat/>
  </w:style>
  <w:style w:type="table" w:styleId="51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customXml" Target="../customXml/item1.xml" /><Relationship Id="rId17" Type="http://schemas.openxmlformats.org/officeDocument/2006/relationships/hyperlink" Target="http://docs.cntd.ru/document/902192610" TargetMode="External"/><Relationship Id="rId18" Type="http://schemas.openxmlformats.org/officeDocument/2006/relationships/hyperlink" Target="http://docs.cntd.ru/document/902186281" TargetMode="External"/><Relationship Id="rId19" Type="http://schemas.openxmlformats.org/officeDocument/2006/relationships/hyperlink" Target="http://www.mjkh.nso.ru/page/724." TargetMode="External"/><Relationship Id="rId20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21" Type="http://schemas.openxmlformats.org/officeDocument/2006/relationships/hyperlink" Target="consultantplus://offline/ref=A2283303C7D254AD7348380E740FF25A10E2ED22CEB7A37225481EC656EC239C45C4E1787FF2A849uEg7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698CD-0D6E-4D5E-AD52-68A27A67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pc004</dc:creator>
  <dc:description/>
  <dc:language>ru-RU</dc:language>
  <cp:revision>81</cp:revision>
  <dcterms:created xsi:type="dcterms:W3CDTF">2021-11-15T02:28:00Z</dcterms:created>
  <dcterms:modified xsi:type="dcterms:W3CDTF">2026-01-28T06:37:37Z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